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20 128 vom 20. Mai 2021</w:t>
      </w:r>
    </w:p>
    <w:p>
      <w:r>
        <w:t>VS Kantonsgericht, 2021-05-20, FR</w:t>
      </w:r>
    </w:p>
    <w:p>
      <w:r>
        <w:rPr>
          <w:b/>
        </w:rPr>
        <w:t xml:space="preserve">Quelle: </w:t>
      </w:r>
      <w:r>
        <w:t>https://mcp.opencaselaw.ch/entscheid/vs_gerichte_A1 20 128</w:t>
      </w:r>
    </w:p>
    <w:p>
      <w:r>
        <w:t>FR: VS_GERICHTE A1 20 128 du 20 mai 2021</w:t>
      </w:r>
    </w:p>
    <w:p>
      <w:r>
        <w:t>IT: VS_GERICHTE A1 20 128 del 20 maggio 2021</w:t>
      </w:r>
    </w:p>
    <w:p>
      <w:pPr>
        <w:pStyle w:val="Heading2"/>
      </w:pPr>
      <w:r>
        <w:t>Regeste</w:t>
      </w:r>
    </w:p>
    <w:p>
      <w:r>
        <w:t>Par arrêt du 30.06.2022 (1C_438/2020/COL), le Tribunal fédéral a rejeté le recours en matière de droit public interjeté par X_, Y_ et Z_ contre ce jugement. A1 20 128 ARRÊT DU 20 MAI 2021 Tribunal cantonal du Valais Cour de droit public Composition : Christophe Joris, président, Jean-Bernard Fournier et Thomas Brunner, juges ; Tristan Maret, greffier en la cause X _________, Y _________, Z _________, recourants, représentés par Maître M _________ contre CONSEIL D'ÉTAT DU VALAIS, autorité attaquée et CONSEIL COMMUNAL DE A _________, autre autorité (Aménagement du territoire) recours de droit administratif contre les décisions du 10 juin 2020</w:t>
      </w:r>
    </w:p>
    <w:p>
      <w:pPr>
        <w:pStyle w:val="Heading2"/>
      </w:pPr>
      <w:r>
        <w:t>Erwägungen</w:t>
      </w:r>
    </w:p>
    <w:p>
      <w:r>
        <w:rPr>
          <w:b/>
        </w:rPr>
        <w:t>E. 2</w:t>
      </w:r>
    </w:p>
    <w:p>
      <w:r>
        <w:t>LPJA), les parties ont sollicité l’administration des moyens de preuve suivants : l’édition du dossier relatif à la modification des articles 107 lettre a et 108 lettre a RCCZ et du tableau des zones de la commune de A _________ ; le dossier relatif aux directives du Conseil d’Etat en lien avec le communiqué de presse « paru dans le Bulletin officiel à la fin xxx 2018 » ; le dossier afférent à la décision de remise en état du 4 décembre 2015 portant sur la parcelle no xx6 propriété des époux C-D _________ ; le dossier traitant de la demande d’autorisation de construire du 7 janvier 2016 déposé par ces derniers en lien avec le bien-fonds no xx6 ; le dossier complet relatif à la décision rendue par le Conseil d’Etat le 10 juin 2020.</w:t>
      </w:r>
    </w:p>
    <w:p>
      <w:r>
        <w:rPr>
          <w:b/>
        </w:rPr>
        <w:t>E. 2.2</w:t>
      </w:r>
    </w:p>
    <w:p>
      <w:r>
        <w:t>Le droit d'être entendu, garanti à l'article 29 alinéa 2 Cst., comprend notamment celui de produire ou de faire administrer des preuves, à condition qu'elles soient perti- nentes et de nature à influer sur la décision à rendre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 posées, il a la certitude qu'elles ne pourraient pas l'amener à modifier son opinion (ATF 144 II 427 consid. 3.1.3 ; 141 I 60 consid. 3.3 ; 138 III 374 consid. 4.3.2 ; arrêts du Tribunal fédéral 2D_3/2021 du 14 avril 2021 consid. 3.1 ; 2C_112/2020 du 9 juin 2020 consid. 3.1).</w:t>
      </w:r>
    </w:p>
    <w:p>
      <w:r>
        <w:rPr>
          <w:b/>
        </w:rPr>
        <w:t>E. 2.3</w:t>
      </w:r>
    </w:p>
    <w:p>
      <w:r>
        <w:t>En l’occurrence, l’édition du dossier du Conseil d’Etat a été ordonnée d’office - et obtenue - le 30 juillet 2020 par la Cour de céans. La requête formulée par les recourants sous cet angle se révèle donc satisfaite. Quant à leur demande tendant à l’édition des différents dossiers que l’on vient d’énumérer (cf. supra, considérant 2.1), elle est également superflue, le dossier en possession du Tribunal cantonal étant suffisamment complet. En effet, il comprend notamment le préavis du SDT du 2 octobre 2019 (cf. dossier du Conseil d’Etat p. 35 ss). Le rapport OAT afférent à la révision litigieuse a également été produit (cf. dossier du Conseil d’Etat, p. 10 ss). Il en va de même de la version du tableau des zones homologué par le Conseil d’Etat le 6 février 2002 et le 25 juin 2003</w:t>
      </w:r>
    </w:p>
    <w:p>
      <w:r>
        <w:t>- 13 - ainsi que de celle ayant fait l’objet de l’homologation litigieuse (cf. dossier du Conseil d’Etat, p. 56 ss). Enfin, le rapport du Conseil d’Etat a aussi été versé en cause (cf. dossier du Conseil d’Etat, p. 63 ss). Il en va de même de la décision d’homologation du Conseil d’Etat du 10 juin 2020 (cf. dossier du Conseil d’Etat, p. 127 s.). 3.1. La décision attaquée délimite le cadre matériel admissible du litige (Benoît Bovay, Procédure administrative, 2e éd. 2015, p. 554). En application de ce principe, la contes- tation susceptible d’être portée devant le Tribunal doit se rapporter aux questions exa- minées par l’autorité précédente ou qui auraient dû l'être (ACDP A1 20 xxx du 29 septembre 2020 consid. 5.3). 3.2. En l’espèce, les recourants s’en prennent d’abord aux travaux effectués par les époux C-D _________ sur le chalet érigé sur la parcelle no xx6. À les lire, un ordre d’arrêt des travaux aurait été prononcé par le conseil communal au mois de septembre 2008 en lien avec divers travaux qui auraient été effectués sur cette construction. Malgré cette décision, les ouvrages réalisés sur cet ouvrage auraient été poursuivis. Ils concerneraient notamment un agrandissement du sous-sol et des sauts-de-loup, la création d’un spa, d’un étage dans les combles, la réalisation d’aménagements extérieurs dans et sur le lit du torrent voisin de cette habitation (construction d’un pont sur le torrent situé à l’est du no xx6, mise en place de fondations en béton et de murs de soutènement). Parmi les irrégularités affectant cette construction, il faudrait encore citer, de l’avis des recourants, le dépassement de la densité, dont le calcul ne tiendrait pas compte de nombreuses pièces et locaux (notamment du garage) dont le chalet construit sur le bien-fonds no xx6 était équipé. Ainsi, la surface brute de plancher utile (SBPU) totale de l’ouvrage s’élèverait à 971,62 m2, ce qui correspondrait à une densité de 0,54, équivalant quasiment au double de l’indice maximal en zone T3. L’IBUS maximal admis dans ces zones n’aurait donc pas été respecté par les constructeurs. De plus, ces derniers ne fréquenteraient qu’occasionnellement leur chalet de I _________, ce qui serait contraire à l’affectation de cette habitation en tant que résidence principale. En outre, la hauteur du chalet serait de 8,38 mètres, mais aurait été calculée par rapport à la poutre faîtière, contrairement aux réquisits de l’OC, qui commanderaient pourtant de calculer cette dimension depuis l’intersection avec la ligne supérieure de la toiture. De plus, le tracé du terrain naturel figurant sur les plans ne serait pas correct. Ainsi, la hauteur effective du chalet excéderait de 40 centimètres la hauteur maximale autorisée en zone T3, qui serait de 8,5 mètres. Il en irait de même de la longueur du chalet, au niveau du rez-de- chaussée, qui atteindrait 22,3 mètres au lieu des 18 mètres autorisés par le tableau des zones homologué par le Conseil d’Etat le 6 février 2002, respectivement le 25 juin 2003.</w:t>
      </w:r>
    </w:p>
    <w:p>
      <w:r>
        <w:t>- 14 - Quant au sous-sol, la longueur du mur atteindrait 24,10 mètres au lieu des 8 mètres autorisés en zone T3. En particulier, la longueur du mur est situé à ce niveau atteindrait 22,8 mètres au lieu des 20 mètres autorisés. Enfin, les agrandissements querellés seraient supérieurs au maximum de 30 % fixé par l’article 11 LRS. Aucun permis d’habiter n’aurait d’ailleurs été délivré pour cette habitation. Les recourants invoquent encore que plusieurs demandes d’autorisation de construire visant à régulariser les travaux que l’on vient de décrire auraient été déposées. À deux reprises, leurs auteurs auraient toutefois retiré ces requêtes (projets du 3 octobre 2008 et du 18 décembre 2009). Le conseil communal aurait alors pris acte de ces démarches sans toutefois ordonner une quelconque remise en état en lien avec les ouvrages réalisés illicitement sur le chalet du no xx6, ce procédé ayant d’ailleurs été qualifié de contraire à l’article 51 LC – norme de droit cantonal définissant les étapes de la procédure de remise en état des lieux - par le Tribunal fédéral dans un arrêt du 18 août 2015 rendu en la cause 1C_167/2015. Après plusieurs mises en demeure des recourants, le conseil communal aurait finalement notifié, le 4 décembre 2015, un ordre de remise en état aux copropriétaires du bien-fonds précité, décision qui impartissait aux constructeurs un délai de six mois pour procéder aux rectifications nécessaires en lien avec les ouvertures en façades, avec la toiture située sur le volume nord et les sauts-de-loup, la densité et le respect de l’affectation du bâtiment. Or, cette décision n’aurait jamais été exécutée, malgré son entrée en force. En toute hypothèse, au vu des irrégularités affectant la construction précitée, toute éventuelle demande de régularisation devrait être refusée par le conseil communal. Il faut cependant relever qu’à lire le prononcé juridictionnel du Conseil d’Etat du 10 juin 2020, respectivement sa décision d’homologation du même jour, le présent litige porte exclusivement sur l’homologation des modifications partielles des articles 107 lettre a et 108 lettre a RCCZ ainsi que sur les adaptations apportées au tableau des zones de la commune de A _________. Il ne concerne donc nullement la question de la conformité au droit du chalet situé sur le bien-fonds no xx6. Les critiques émises en lien avec cette habitation, qui excèdent l’objet du litige ainsi circonscrit, sont donc irrecevables, étant précisé que certaines d’entre elles ne font que reprendre celles déjà émises dans l’affaire A1 17 81 jugée par le Cour de céans le 22 septembre 2017 et confirmée par le Tribunal fédéral dans l’arrêt 1C_599/2017 du 22 mai 2018.</w:t>
      </w:r>
    </w:p>
    <w:p>
      <w:r>
        <w:rPr>
          <w:b/>
        </w:rPr>
        <w:t>E. 4</w:t>
      </w:r>
    </w:p>
    <w:p>
      <w:r>
        <w:t>avril 2014 ayant trait à un cas d’application de l’article 75b alinéa 1 Cst., l’on constate, à lire le prononcé administratif attaqué, que l’instance précédente n’a cependant jamais prétendu que la commune de A _________ se serait, elle aussi, référée à cette</w:t>
      </w:r>
    </w:p>
    <w:p>
      <w:r>
        <w:t>- 16 - jurisprudence. L’on ne perçoit donc pas en quoi ce procédé rédactionnel serait constitutif d’une violation du droit d’être entendu des recourants.</w:t>
      </w:r>
    </w:p>
    <w:p>
      <w:r>
        <w:rPr>
          <w:b/>
        </w:rPr>
        <w:t>E. 4.1</w:t>
      </w:r>
    </w:p>
    <w:p>
      <w:r>
        <w:t>En lien avec l’argumentation adoptée par le Conseil d’Etat, ils soulignent d’abord le fait que, contrairement à ce qu’aurait retenu l’instance précédente, la commune de A _________ n’aurait aucunement fait référence à un arrêt qu’aurait rendu le Tribunal fédéral le 4 avril 2014 et qu’elle se serait bornée à invoquer que la révision litigieuse répondrait à une demande du canton. Elle n’aurait ainsi pas procédé à l’analyse de la clause de besoin, prétendant seulement à titre accessoire, en page 5 du rapport OAT, que cette modification permettait la construction de résidences principales dans les zones T3 et T4 pour assurer la présence d’une population résidente plus importante à l’année sur le territoire de la commune de A _________. Ce serait donc à tort que le Conseil d’Etat aurait retenu que la révision litigieuse répondait à cet objectif. En l’occurrence, au paragraphe libellé « Raisons et objectifs de la présente modification partielle » du rapport OAT, la commune de A _________ a précisément exposé que la révision litigieuse répondait à une demande du canton et qu’elle permettait la construction de résidences principales en zone T3, respectivement en zone T4, ce qui répondait à une volonté de cette collectivité publique d’avoir une population résidente plus importante hors de la haute saison touristique, élément de nature à engendrer une activité socio- économique élargie sur l’année. De plus, les zones T3 et T4 étaient équipées en infrastructures, le déneigement y étant assuré. Au besoin et en fonction de la demande, l’offre en transports publics et scolaires devait être étendue. En outre, il était précisé que la clause du besoin n’avait pas à être motivée, puisque la révision litigieuse répondait à une demande expresse du Conseil d’Etat. Force est donc de constater que la commune de A _________ a bel et bien souligné que la révision litigieuse visait à assurer la présence d’une population résidente plus importante tout au long de l’année, y compris hors de la haute saison touristique. L’on ne voit donc pas en quoi elle se serait fondée sur cet argument à titre « accessoire », ni en quoi le Conseil d’Etat aurait eu tort de retenir cette thèse. De plus, la commune de A _________ a aussi expliqué pourquoi elle n’avait pas effectué une analyse approfondie de la clause de besoin, puisqu’elle a indiqué avoir procédé à la révision litigieuse selon les instructions du Conseil d’Etat. Quant à la question de savoir si le canton a ou non effectivement formulé une telle demande, elle relève du fond de la cause et sera examinée ci-après (cf. infra, considérant 5.3). Au sujet de la référence faite par le Conseil d’Etat à « l’arrêt du Tribunal fédéral du 4 avril 2014 » - qui se révèle être l’arrêt du Tribunal fédéral rendu en la cause 1C_874/2013 du</w:t>
      </w:r>
    </w:p>
    <w:p>
      <w:r>
        <w:rPr>
          <w:b/>
        </w:rPr>
        <w:t>E. 4.2</w:t>
      </w:r>
    </w:p>
    <w:p>
      <w:r>
        <w:t>Les recourants pointent également une contradiction entre le prononcé juridictionnel entrepris et le rapport OAT. À leur avis, le rapport OAT rédigé à la demande de la commune de A _________ énoncerait que la révision litigieuse serait urgente, alors que le Conseil d’Etat aurait souligné que tel ne serait pas le cas. Dans ce contexte, il faut, certes, relever que le Conseil d’Etat a retenu, dans son prononcé juridictionnel du 10 juin 2020, que la révision litigieuse n’était pas urgente alors que, dans le rapport OAT, la commune de A _________ a prétendu le contraire. Il est vrai que ce procédé semble traduire, au premier abord, une certaine contradiction entre la position de la commune de A _________ et celle du Conseil d’Etat. L’on ne saurait toutefois en inférer une violation du droit d’être entendu des recourants, étant donné que la question de savoir si la révision litigieuse répond ou non à une certaine urgence résulte du fond de la cause et sera traitée ci-après (cf. infra, considérant 5.3). Cette critique doit donc être écartée. Au surplus, l’on retiendra que le Conseil d’Etat a ensuite exposé, dans le prononcé entrepris, que cette révision faisait suite à l’adoption de l’article 75b alinéa 1 Cst, norme de droit constitutionnel limitant la proportion de résidences secondaires à 20 % au maximum du parc des logements et de la surface brute au sol habitable de chaque commune, opérant ainsi une substitution de motifs. Cette manière de faire n’est pas non plus critiquable, étant donné que les recourants ont eux-mêmes fait référence à la LRS dans leur mémoire de recours administratif du 17 janvier 2019 (cf. notamment la page 14 de cette écriture : cf. dossier du Conseil d’Etat ) – plus précisément à l’article 6 alinéa 1 LRS, norme de droit fédéral prévoyant que, dans les communes dont la proportion de résidences secondaires déterminée conformément à l’article 5 LRS est supérieure à 20 %, aucune nouvelle résidence secondaire ne peut être autorisée - si bien qu’ils ne peuvent en toute hypothèse prétendre avoir été surpris par ce raisonnement.</w:t>
      </w:r>
    </w:p>
    <w:p>
      <w:r>
        <w:rPr>
          <w:b/>
        </w:rPr>
        <w:t>E. 4.3</w:t>
      </w:r>
    </w:p>
    <w:p>
      <w:r>
        <w:t>Les recourants critiquent aussi le fait que le Conseil d’Etat n’aurait pas analysé la question de savoir s’il était ou non possible de déroger à la jurisprudence relative à l’article 75b alinéa 1 Cst qui commanderait de procéder à une révision globale de la planification communale. Il est vrai que, dans la décision attaquée, l’instance précédente n’a pas expressément examiné ce point. L’on rappellera que le Conseil d’Etat n'avait pas l'obligation d'exposer et de discuter tous les faits, moyens de preuve et griefs invoqués par les parties, mais qu’il pouvait au contraire se limiter à ceux qui, sans arbitraire, pouvaient être tenus pour pertinents (ATF 142 II 154 consid. 4.2). L’on précisera aussi que les recourants ont été à même de soulever à nouveau ce grief devant la Cour de</w:t>
      </w:r>
    </w:p>
    <w:p>
      <w:r>
        <w:t>- 17 - céans, qui dispose d’un plein pouvoir d’examen (ACDP A1 20 xxx du 16 mars 2021 consid. 3.4). L’on ne saurait donc y discerner une quelconque violation du droit d’être entendu des recourants.</w:t>
      </w:r>
    </w:p>
    <w:p>
      <w:r>
        <w:rPr>
          <w:b/>
        </w:rPr>
        <w:t>E. 4.4</w:t>
      </w:r>
    </w:p>
    <w:p>
      <w:r>
        <w:t>Les recourants se plaignent aussi du fait que le Conseil d’Etat n’aurait pas tranché la question de la clause de besoin, plus particulièrement sous l’angle de la demande en résidences principales. Or, dans le prononcé administratif entrepris, l’instance pré- cédente a précisé que cette question devait être tranchée dans le cadre de l’octroi des futurs permis de bâtir. L’on ne saurait donc formuler le moindre reproche de forme sur ce point, l’admissibilité de cet argument relevant, elle aussi du fond de la cause (cf. infra, considérant 5.3). Il en va de même de la question de savoir si la révision litigieuse répond ou non à un intérêt public ou si elle ne vise, au contraire qu’à régulariser les constructions illicites (cf. infra, considérant 6.3). Enfin, l’on ne discerne pas non plus quelles « variantes » la commune de A _________ devait, de l’avis des recourants, explorer dans le cadre de la révision des articles 107 lettre a et 108 lettre a RCCZ, respectivement de la modification du tableau des zones. Cette critique se révèle être elle aussi insuffisamment motivée (cf. art. 80 al. 1 let. c et 48 al. 2 LPJA).</w:t>
      </w:r>
    </w:p>
    <w:p>
      <w:r>
        <w:rPr>
          <w:b/>
        </w:rPr>
        <w:t>E. 4.5</w:t>
      </w:r>
    </w:p>
    <w:p>
      <w:r>
        <w:t>Les recourants critiquent enfin les explications apportées par le Conseil d’Etat en lien avec le contenu de la modification de la réglementation en pages 7 et suivantes de son prononcé du 10 juin 2020 sur leur recours administratif. À les lire, cet exposé ne serait pas pertinent pour le sort de la cause. L’on se contentera de relever que ces explications ont été faites en réponse au grief des recourants selon lequel la révision litigieuse ne viserait qu’à régulariser des constructions illicites. L’on ne voit donc pas en quoi violerait le droit d’être entendu des recourants le fait de résumer les diverses révisions opérées sur le RCCZ au fil du temps pour en arriver à la conclusion que la révision litigieuse ne visait pas à régulariser des constructions illicites, mais à adapter le tableau des zones. Cette critique doit donc être écartée. En toute hypothèse, l’on ne perçoit pas en quoi l’instance précédente aurait failli à son obligation de motiver, puisqu’elle a exposé, dans le prononcé administratif entrepris, de manière détaillée les arguments pour lesquels le recours administratif du 17 janvier 2019 des recourants devait être rejeté, ce sur plus de deux pages. Ces derniers ont d’ailleurs été à même de contester cette décision devant la Cour de céans, si bien qu’une éventuelle violation de leur droit d’être entendus doit, en toute hypothèse, être considérée comme guérie (cf., sur ce point, l’arrêt du Tribunal fédéral 2C_445/2020 du 16 mars 2021 consid. 3.2).</w:t>
      </w:r>
    </w:p>
    <w:p>
      <w:r>
        <w:t>- 18 - En définitive, le grief de violation de l’article 29 alinéa 2 Cst. doit être rejeté dans la mesure de sa recevabilité. 5.1. Dans un second grief, les recourants soutiennent que l’article 75b alinéa 1 Cst et le PDc imposeraient de procéder à une révision du PAZ à l’échelle de l’entier du territoire de la commune de A _________ et non pas sous le seul angle des zones T3 et T4. 5.2. L’article 75b alinéa 1 Cst dispose que les résidences secondaires constituent au maximum 20 % du parc des logements et de la surface brute au sol habitable de chaque commune. L’article 21 alinéa 2 LAT dispose que, lorsque les circonstances se sont sensiblement modifiées, les plans d’affectation feront l’objet des adaptations nécessaires. L’article 7 alinéa 1 lettre a LRS dispose que dans les communes qui comptent une pro- portion de résidences secondaires supérieure à 20 %, de nouveaux logements ne peuvent être autorisés qu’à la condition d’être utilisés comme résidence principale ou comme logement assimilé à une résidence principale au sens de l’art. 2, al. 3 LRS. L’article 107 lettre a RCCZ relatif à la zone T3, dans sa version partiellement homologuée du 25 juin 2003, disposait que cette zone est réservée aux résidences secondaires de vacances individuelles ou groupées L’article 108 alinéa 1 RCCZ traitait de la zone T4 l’affectait à la construction de résidences secondaires.</w:t>
      </w:r>
    </w:p>
    <w:p>
      <w:r>
        <w:t>5.3. En l’occurrence, il est vrai que, dans son arrêt relatif à la commune de L _________, auquel les recourants se réfèrent en page 14 de leur recours de droit administratif du 19 juillet 2020, le Tribunal fédéral a exposé qu’en raison de l’entrée en vigueur de l’article 75b alinéa 1 Cst., il fallait compter avec une baisse sensible des demandes de permis de construire. Ainsi, les réserves d'utilisation pour la construction d'habitations devaient être réexaminées à l’échelle de l’entier du territoire communal (ATF 140 II 25 consid. 4.3). Dans cette affaire, le secteur considéré (xxx) devait être pris en considération, parmi d'autres, dans l'examen de la réduction des possibilités de construire car il était situé en périphérie, dans une zone qui n'était que partiellement construite et équipée et qui n’était pas encore constructible, faute de plan de quartier (ATF 140 II 25 consids. 4.4 et 5). Ces principes ont notamment été confirmés dans les arrêts du Tribunal fédéral 1C_568/2014/1C_576/2014 du 13 janvier 2016 consid. 7.1 et 1C_598/2013 du 6 décembre 2013 consid. 7).</w:t>
      </w:r>
    </w:p>
    <w:p>
      <w:r>
        <w:t>- 19 - Or, en l’espèce, les parcelles sises dans les zones T3 et T4 ne sont pas en périphérie. L’on peut prendre pour exemples le secteur « B _________ » (zone T3) dans lequel se trouve le bien-fonds no xx1, copropriété des recourants, ou encore le périmètre « F _________ » (zone T4). Ces deux périmètres se situent à proximité du centre de la station de I _________. Il en va de même des parcelles notamment situées aux lieux-dits « N _________ » (zone T4), « O _________ » (zone T4), « P _________ » (T4), « Q _________ » (T4). Il ressort encore du rapport OAT que les parcelles rangées dans les zones T3 et T4 sont équipées en infrastructures, le déneigement y étant notamment assuré. Ces éléments ne sont pas contestés par les recourants. Ils ne nient pas le fait que l’offre en transports publics et scolaires sera aussi étoffée dans le futur (cf. dossier du Conseil d’Etat, p. 10). Ainsi, la référence que font les recourants à l’ATF 140 II 5 n’est pas pertinente. L’on ajoutera encore qu’à lire le document libellé « Situation des zones à bâtir dévolues à l’habitat à l’échelle des communes (état au 24 mai 2017) », document disponible à l’adresse Internet xxx, et dont le contenu n’est non plus pas remis en cause, la zone à bâtir de la commune de A _________ n’est pas surdimensionnée, étant donné que la surface non bâtie est de 41,8 hectares pour un besoin théorique de 63,8 hectares. Il en résulte qu’un examen global de l’entier de la zone à bâtir de la commune de A _________ ne s’impose pas sous cet angle, de sorte qu’il était loisible à cette collectivité publique de procéder à la révision partielle litigieuse. De plus, et contrairement à ce que les recourants invoquent dans leur détermination du</w:t>
      </w:r>
    </w:p>
    <w:p>
      <w:r>
        <w:rPr>
          <w:b/>
        </w:rPr>
        <w:t>E. 9</w:t>
      </w:r>
    </w:p>
    <w:p>
      <w:r>
        <w:t>octobre 2020, le Tribunal fédéral, au considérant 2.7 de son arrêt 1C_419/2019 du</w:t>
      </w:r>
    </w:p>
    <w:p>
      <w:r>
        <w:rPr>
          <w:b/>
        </w:rPr>
        <w:t>E. 14</w:t>
      </w:r>
    </w:p>
    <w:p>
      <w:r>
        <w:t>juin 2018 visant à une révision des articles 107 lettre a et 108 lettre a RCCZ, respectivement à une application correcte du tableau des zones homologué le 6 février 2002, respectivement le 25 juin 2003 par le Conseil d’Etat et à une correction des versions erronées de ce document (cf. dossier du Conseil d’Etat, p. 195). C’est donc à tort qu’ils se plaignent d’une constatation inexacte des faits sur ce point. Enfin, l’on soulignera que les critiques des recourants formulées en lien avec la constatation inexacte des faits (divergences entre les recourants et le Conseil d’Etat au sujet du contenu du rapport du 14 juin 2018 émanant de cette autorité, respectivement en lien avec le résumé par l’instance de recours administratif des moyens invoqués par les précités par-devant lui et omission par le Conseil d’Etat de citer de manière exacte le contenu des nouveaux articles 107 et 108 RCCZ) ne sont pas pertinentes, étant donné qu’on ne voit en effet pas en quoi une discussion de ces prétendues irrégularités changerait quoi que ce soit aux motifs qui viennent d’être développés. Ce grief doit donc être rejeté. 11. Le recours est rejeté dans la mesure de sa recevabilité (art. 80 al. 1 et 60 al. 1 LPJA). 12. Les recourants supporteront, solidairement entre eux, un émolument de justice, arrêté notamment au vu des principes de couverture des frais et d’équivalence des prestations, à 1500 fr. (art. 88 al. 2 et 89 al. 1 LPJA ; art. 3 al. 3, 11, 13 al. 1 et 25 de la loi du 11 février 2009 fixant le tarif des frais et dépens devant les autorités judiciaires ou administratives – LTar ; RS/VS 173.8). Ils n'ont pas droit à des dépens (art. 91 al. 1 a contrario LPJA). Aucun dépens n’est alloué à la commune de A _________ (art. 91 al. 3 LPJA).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